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041FB" w14:textId="7AB7AD6A" w:rsidR="0033761E" w:rsidRPr="00AF566C" w:rsidRDefault="0089726F" w:rsidP="002B263A">
      <w:pPr>
        <w:tabs>
          <w:tab w:val="right" w:pos="9498"/>
        </w:tabs>
        <w:spacing w:after="180"/>
        <w:rPr>
          <w:rFonts w:asciiTheme="majorHAnsi" w:hAnsiTheme="majorHAnsi" w:cstheme="majorHAnsi"/>
          <w:b/>
          <w:bCs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 xml:space="preserve">3GPP TSG RAN WG1 </w:t>
      </w:r>
      <w:r w:rsidR="00346FDD">
        <w:rPr>
          <w:rFonts w:asciiTheme="majorHAnsi" w:hAnsiTheme="majorHAnsi" w:cstheme="majorHAnsi"/>
          <w:b/>
          <w:lang w:eastAsia="ja-JP"/>
        </w:rPr>
        <w:t>#107</w:t>
      </w:r>
      <w:r w:rsidR="007863A4" w:rsidRPr="00AF566C">
        <w:rPr>
          <w:rFonts w:asciiTheme="majorHAnsi" w:hAnsiTheme="majorHAnsi" w:cstheme="majorHAnsi"/>
          <w:b/>
          <w:lang w:eastAsia="ja-JP"/>
        </w:rPr>
        <w:tab/>
      </w:r>
      <w:r w:rsidR="00B3140D" w:rsidRPr="00AF566C">
        <w:rPr>
          <w:rFonts w:asciiTheme="majorHAnsi" w:hAnsiTheme="majorHAnsi" w:cstheme="majorHAnsi"/>
          <w:b/>
          <w:lang w:eastAsia="ja-JP"/>
        </w:rPr>
        <w:t>R1-</w:t>
      </w:r>
      <w:r w:rsidR="00166C42">
        <w:rPr>
          <w:rFonts w:asciiTheme="majorHAnsi" w:hAnsiTheme="majorHAnsi" w:cstheme="majorHAnsi"/>
          <w:b/>
          <w:lang w:eastAsia="ja-JP"/>
        </w:rPr>
        <w:t>2112086</w:t>
      </w:r>
      <w:r w:rsidR="00B81665" w:rsidRPr="00AF566C">
        <w:rPr>
          <w:rFonts w:asciiTheme="majorHAnsi" w:hAnsiTheme="majorHAnsi" w:cstheme="majorHAnsi"/>
          <w:b/>
          <w:lang w:eastAsia="ja-JP"/>
        </w:rPr>
        <w:br/>
      </w:r>
      <w:bookmarkStart w:id="0" w:name="_Hlk20908847"/>
      <w:r w:rsidR="00346FDD">
        <w:rPr>
          <w:rFonts w:asciiTheme="majorHAnsi" w:hAnsiTheme="majorHAnsi" w:cstheme="majorHAnsi"/>
          <w:b/>
          <w:bCs/>
          <w:lang w:eastAsia="ja-JP"/>
        </w:rPr>
        <w:t>e-Meeting</w:t>
      </w:r>
      <w:r w:rsidR="0033761E" w:rsidRPr="00AF566C">
        <w:rPr>
          <w:rFonts w:asciiTheme="majorHAnsi" w:hAnsiTheme="majorHAnsi" w:cstheme="majorHAnsi"/>
          <w:b/>
          <w:bCs/>
          <w:lang w:eastAsia="ja-JP"/>
        </w:rPr>
        <w:t xml:space="preserve">, </w:t>
      </w:r>
      <w:r w:rsidR="00346FDD">
        <w:rPr>
          <w:rFonts w:asciiTheme="majorHAnsi" w:hAnsiTheme="majorHAnsi" w:cstheme="majorHAnsi"/>
          <w:b/>
          <w:bCs/>
          <w:lang w:eastAsia="ja-JP"/>
        </w:rPr>
        <w:t>November</w:t>
      </w:r>
      <w:r w:rsidR="0033761E" w:rsidRPr="00AF566C">
        <w:rPr>
          <w:rFonts w:asciiTheme="majorHAnsi" w:hAnsiTheme="majorHAnsi" w:cstheme="majorHAnsi"/>
          <w:b/>
          <w:bCs/>
          <w:lang w:eastAsia="ja-JP"/>
        </w:rPr>
        <w:t xml:space="preserve"> </w:t>
      </w:r>
      <w:r w:rsidR="009465FD" w:rsidRPr="00AF566C">
        <w:rPr>
          <w:rFonts w:asciiTheme="majorHAnsi" w:hAnsiTheme="majorHAnsi" w:cstheme="majorHAnsi"/>
          <w:b/>
          <w:bCs/>
          <w:lang w:eastAsia="ja-JP"/>
        </w:rPr>
        <w:t>1</w:t>
      </w:r>
      <w:r w:rsidR="00346FDD">
        <w:rPr>
          <w:rFonts w:asciiTheme="majorHAnsi" w:hAnsiTheme="majorHAnsi" w:cstheme="majorHAnsi"/>
          <w:b/>
          <w:bCs/>
          <w:lang w:eastAsia="ja-JP"/>
        </w:rPr>
        <w:t>1</w:t>
      </w:r>
      <w:r w:rsidR="0033761E" w:rsidRPr="00AF566C">
        <w:rPr>
          <w:rFonts w:asciiTheme="majorHAnsi" w:hAnsiTheme="majorHAnsi" w:cstheme="majorHAnsi"/>
          <w:b/>
          <w:bCs/>
          <w:vertAlign w:val="superscript"/>
          <w:lang w:eastAsia="ja-JP"/>
        </w:rPr>
        <w:t>th</w:t>
      </w:r>
      <w:r w:rsidR="0033761E" w:rsidRPr="00AF566C">
        <w:rPr>
          <w:rFonts w:asciiTheme="majorHAnsi" w:hAnsiTheme="majorHAnsi" w:cstheme="majorHAnsi"/>
          <w:b/>
          <w:bCs/>
          <w:lang w:eastAsia="ja-JP"/>
        </w:rPr>
        <w:t xml:space="preserve"> – </w:t>
      </w:r>
      <w:r w:rsidR="00346FDD">
        <w:rPr>
          <w:rFonts w:asciiTheme="majorHAnsi" w:hAnsiTheme="majorHAnsi" w:cstheme="majorHAnsi"/>
          <w:b/>
          <w:bCs/>
          <w:lang w:eastAsia="ja-JP"/>
        </w:rPr>
        <w:t>19</w:t>
      </w:r>
      <w:r w:rsidR="00346FDD">
        <w:rPr>
          <w:rFonts w:asciiTheme="majorHAnsi" w:hAnsiTheme="majorHAnsi" w:cstheme="majorHAnsi"/>
          <w:b/>
          <w:bCs/>
          <w:vertAlign w:val="superscript"/>
          <w:lang w:eastAsia="ja-JP"/>
        </w:rPr>
        <w:t>th</w:t>
      </w:r>
      <w:r w:rsidR="0033761E" w:rsidRPr="00AF566C">
        <w:rPr>
          <w:rFonts w:asciiTheme="majorHAnsi" w:hAnsiTheme="majorHAnsi" w:cstheme="majorHAnsi"/>
          <w:b/>
          <w:bCs/>
          <w:lang w:eastAsia="ja-JP"/>
        </w:rPr>
        <w:t>, 20</w:t>
      </w:r>
      <w:bookmarkEnd w:id="0"/>
      <w:r w:rsidR="00346FDD">
        <w:rPr>
          <w:rFonts w:asciiTheme="majorHAnsi" w:hAnsiTheme="majorHAnsi" w:cstheme="majorHAnsi"/>
          <w:b/>
          <w:bCs/>
          <w:lang w:eastAsia="ja-JP"/>
        </w:rPr>
        <w:t>21</w:t>
      </w:r>
    </w:p>
    <w:p w14:paraId="7F1035BD" w14:textId="77777777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Source: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</w:rPr>
        <w:t>Panasonic</w:t>
      </w:r>
    </w:p>
    <w:p w14:paraId="2BEA81A8" w14:textId="172D4BF8" w:rsidR="006D3ED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Title:</w:t>
      </w:r>
      <w:r w:rsidRPr="00AF566C">
        <w:rPr>
          <w:rFonts w:asciiTheme="majorHAnsi" w:hAnsiTheme="majorHAnsi" w:cstheme="majorHAnsi"/>
        </w:rPr>
        <w:tab/>
      </w:r>
      <w:r w:rsidR="00FE4DD0">
        <w:rPr>
          <w:rFonts w:asciiTheme="majorHAnsi" w:hAnsiTheme="majorHAnsi" w:cstheme="majorHAnsi"/>
        </w:rPr>
        <w:t>Other aspects for UE complexity reduction for RedCap</w:t>
      </w:r>
    </w:p>
    <w:p w14:paraId="5E7CD662" w14:textId="5EC82401" w:rsidR="007863A4" w:rsidRPr="00AF566C" w:rsidRDefault="00FD30CD" w:rsidP="00004E09">
      <w:pPr>
        <w:tabs>
          <w:tab w:val="left" w:pos="1560"/>
        </w:tabs>
        <w:spacing w:after="60"/>
        <w:rPr>
          <w:rFonts w:asciiTheme="majorHAnsi" w:hAnsiTheme="majorHAnsi" w:cstheme="majorHAnsi"/>
          <w:b/>
          <w:lang w:eastAsia="ja-JP"/>
        </w:rPr>
      </w:pPr>
      <w:r w:rsidRPr="00AF566C">
        <w:rPr>
          <w:rFonts w:asciiTheme="majorHAnsi" w:hAnsiTheme="majorHAnsi" w:cstheme="majorHAnsi"/>
          <w:b/>
          <w:lang w:eastAsia="ja-JP"/>
        </w:rPr>
        <w:t>Agenda item:</w:t>
      </w:r>
      <w:r w:rsidR="00A62DAD" w:rsidRPr="00AF566C">
        <w:rPr>
          <w:rFonts w:asciiTheme="majorHAnsi" w:hAnsiTheme="majorHAnsi" w:cstheme="majorHAnsi"/>
          <w:lang w:eastAsia="ja-JP"/>
        </w:rPr>
        <w:tab/>
      </w:r>
      <w:r w:rsidR="00FE4DD0">
        <w:rPr>
          <w:rFonts w:asciiTheme="majorHAnsi" w:hAnsiTheme="majorHAnsi" w:cstheme="majorHAnsi" w:hint="eastAsia"/>
          <w:lang w:eastAsia="ja-JP"/>
        </w:rPr>
        <w:t>8.6.1.2</w:t>
      </w:r>
    </w:p>
    <w:p w14:paraId="76394AF6" w14:textId="77777777" w:rsidR="007863A4" w:rsidRPr="00AF566C" w:rsidRDefault="007863A4" w:rsidP="00004E09">
      <w:pPr>
        <w:tabs>
          <w:tab w:val="left" w:pos="1560"/>
        </w:tabs>
        <w:spacing w:after="60"/>
        <w:rPr>
          <w:rFonts w:asciiTheme="majorHAnsi" w:hAnsiTheme="majorHAnsi" w:cstheme="majorHAnsi"/>
          <w:lang w:eastAsia="ja-JP"/>
        </w:rPr>
      </w:pPr>
      <w:r w:rsidRPr="00AF566C">
        <w:rPr>
          <w:rFonts w:asciiTheme="majorHAnsi" w:hAnsiTheme="majorHAnsi" w:cstheme="majorHAnsi"/>
          <w:b/>
        </w:rPr>
        <w:t>Document for:</w:t>
      </w:r>
      <w:r w:rsidRPr="00AF566C">
        <w:rPr>
          <w:rFonts w:asciiTheme="majorHAnsi" w:hAnsiTheme="majorHAnsi" w:cstheme="majorHAnsi"/>
        </w:rPr>
        <w:tab/>
      </w:r>
      <w:r w:rsidRPr="00AF566C">
        <w:rPr>
          <w:rFonts w:asciiTheme="majorHAnsi" w:hAnsiTheme="majorHAnsi" w:cstheme="majorHAnsi"/>
        </w:rPr>
        <w:tab/>
      </w:r>
      <w:r w:rsidR="00064856" w:rsidRPr="00AF566C">
        <w:rPr>
          <w:rFonts w:asciiTheme="majorHAnsi" w:hAnsiTheme="majorHAnsi" w:cstheme="majorHAnsi"/>
          <w:lang w:eastAsia="ja-JP"/>
        </w:rPr>
        <w:tab/>
      </w:r>
      <w:r w:rsidRPr="00AF566C">
        <w:rPr>
          <w:rFonts w:asciiTheme="majorHAnsi" w:hAnsiTheme="majorHAnsi" w:cstheme="majorHAnsi"/>
          <w:lang w:eastAsia="ja-JP"/>
        </w:rPr>
        <w:t>Discussion and Decision</w:t>
      </w:r>
    </w:p>
    <w:p w14:paraId="0EFDA5A6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33C88289" w14:textId="2F40D23F" w:rsidR="00500CC0" w:rsidRPr="00D21A25" w:rsidRDefault="007711CD" w:rsidP="00FE4DD0">
      <w:r w:rsidRPr="00D21A25">
        <w:rPr>
          <w:lang w:eastAsia="ja-JP"/>
        </w:rPr>
        <w:t>This docu</w:t>
      </w:r>
      <w:r w:rsidR="00D552B8">
        <w:rPr>
          <w:lang w:eastAsia="ja-JP"/>
        </w:rPr>
        <w:t>ment discusses</w:t>
      </w:r>
      <w:r w:rsidR="00990720">
        <w:rPr>
          <w:lang w:eastAsia="ja-JP"/>
        </w:rPr>
        <w:t xml:space="preserve"> the remaining cases on duplex operation.</w:t>
      </w:r>
      <w:r w:rsidR="00502936">
        <w:rPr>
          <w:lang w:eastAsia="ja-JP"/>
        </w:rPr>
        <w:t xml:space="preserve"> Our view is described.</w:t>
      </w:r>
    </w:p>
    <w:p w14:paraId="2E448236" w14:textId="77777777" w:rsidR="00500CC0" w:rsidRDefault="00500CC0" w:rsidP="00FE4DD0"/>
    <w:p w14:paraId="15440D30" w14:textId="05E2CD66" w:rsidR="00DA0BC7" w:rsidRDefault="00F5434B" w:rsidP="00DA0BC7">
      <w:pPr>
        <w:pStyle w:val="1"/>
      </w:pPr>
      <w:r>
        <w:t>Discussion on duplex operation</w:t>
      </w:r>
    </w:p>
    <w:p w14:paraId="466D4A52" w14:textId="552FD096" w:rsidR="00FE4DD0" w:rsidRDefault="00FE4DD0" w:rsidP="00FE4DD0">
      <w:pPr>
        <w:pStyle w:val="2"/>
        <w:numPr>
          <w:ilvl w:val="1"/>
          <w:numId w:val="1"/>
        </w:numPr>
        <w:ind w:left="627" w:hanging="627"/>
      </w:pPr>
      <w:r>
        <w:t>Collision case 5: dynamic UL vs. SSB</w:t>
      </w:r>
    </w:p>
    <w:p w14:paraId="69C90C12" w14:textId="38C9E5D6" w:rsidR="00FE4DD0" w:rsidRDefault="00FE4DD0" w:rsidP="00FE4DD0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#106-e, the following agreement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FE4DD0" w14:paraId="7360E102" w14:textId="77777777" w:rsidTr="00877891">
        <w:tc>
          <w:tcPr>
            <w:tcW w:w="9630" w:type="dxa"/>
          </w:tcPr>
          <w:p w14:paraId="60E0F809" w14:textId="77777777" w:rsidR="00FE4DD0" w:rsidRPr="00351F62" w:rsidRDefault="00FE4DD0" w:rsidP="00877891">
            <w:pPr>
              <w:shd w:val="clear" w:color="auto" w:fill="FFFFFF"/>
              <w:jc w:val="both"/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</w:pPr>
            <w:r w:rsidRPr="00351F62"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val="en-US" w:eastAsia="zh-CN"/>
              </w:rPr>
              <w:t>Agreement </w:t>
            </w:r>
          </w:p>
          <w:p w14:paraId="319867E2" w14:textId="77777777" w:rsidR="00FE4DD0" w:rsidRPr="00351F62" w:rsidRDefault="00FE4DD0" w:rsidP="006F6C70">
            <w:pPr>
              <w:pStyle w:val="RAN1bullet1"/>
              <w:rPr>
                <w:lang w:val="en-US"/>
              </w:rPr>
            </w:pPr>
            <w:bookmarkStart w:id="1" w:name="_Hlk83823472"/>
            <w:r w:rsidRPr="00351F62">
              <w:rPr>
                <w:lang w:val="en-US"/>
              </w:rPr>
              <w:t>For Case 5 of dynamically scheduled UL transmission vs. SSB,</w:t>
            </w:r>
            <w:bookmarkEnd w:id="1"/>
            <w:r w:rsidRPr="00351F62">
              <w:rPr>
                <w:lang w:val="en-US"/>
              </w:rPr>
              <w:t xml:space="preserve"> one or both of the following options to be determined till next meeting:</w:t>
            </w:r>
          </w:p>
          <w:p w14:paraId="3ED6112F" w14:textId="77777777" w:rsidR="00FE4DD0" w:rsidRPr="00351F62" w:rsidRDefault="00FE4DD0" w:rsidP="006F6C70">
            <w:pPr>
              <w:pStyle w:val="RAN1bullet1"/>
              <w:numPr>
                <w:ilvl w:val="1"/>
                <w:numId w:val="54"/>
              </w:numPr>
              <w:rPr>
                <w:lang w:val="en-US"/>
              </w:rPr>
            </w:pPr>
            <w:r w:rsidRPr="00351F62">
              <w:rPr>
                <w:lang w:val="en-US"/>
              </w:rPr>
              <w:t>Option 1: Dynamically scheduled UL transmission is prioritized over SSB</w:t>
            </w:r>
          </w:p>
          <w:p w14:paraId="355E07E0" w14:textId="77777777" w:rsidR="00FE4DD0" w:rsidRPr="0027336A" w:rsidRDefault="00FE4DD0" w:rsidP="006F6C70">
            <w:pPr>
              <w:pStyle w:val="RAN1bullet1"/>
              <w:numPr>
                <w:ilvl w:val="1"/>
                <w:numId w:val="54"/>
              </w:numPr>
              <w:rPr>
                <w:lang w:val="en-US" w:eastAsia="ja-JP"/>
              </w:rPr>
            </w:pPr>
            <w:r w:rsidRPr="00351F62">
              <w:rPr>
                <w:lang w:val="en-US"/>
              </w:rPr>
              <w:t xml:space="preserve">Option 2: </w:t>
            </w:r>
            <w:bookmarkStart w:id="2" w:name="_Hlk83823493"/>
            <w:r w:rsidRPr="00351F62">
              <w:rPr>
                <w:lang w:val="en-US"/>
              </w:rPr>
              <w:t>Reuse the existing collision handling principles of Rel-15/16 for NR TDD that SSB is prioritized over dynamically scheduled UL transmission</w:t>
            </w:r>
            <w:bookmarkEnd w:id="2"/>
          </w:p>
        </w:tc>
      </w:tr>
    </w:tbl>
    <w:p w14:paraId="1D80F686" w14:textId="74B0EA5D" w:rsidR="00FE4DD0" w:rsidRDefault="00FE4DD0" w:rsidP="005D7C5A">
      <w:pPr>
        <w:rPr>
          <w:lang w:eastAsia="ja-JP"/>
        </w:rPr>
      </w:pPr>
    </w:p>
    <w:p w14:paraId="421BEF4A" w14:textId="745E21A3" w:rsidR="00FE4DD0" w:rsidRDefault="00502936" w:rsidP="005D7C5A">
      <w:pPr>
        <w:rPr>
          <w:lang w:eastAsia="ja-JP"/>
        </w:rPr>
      </w:pPr>
      <w:r>
        <w:rPr>
          <w:lang w:eastAsia="ja-JP"/>
        </w:rPr>
        <w:t>Although our best preference is option 1 with the rule like "</w:t>
      </w:r>
      <w:r w:rsidRPr="00502936">
        <w:rPr>
          <w:lang w:eastAsia="ja-JP"/>
        </w:rPr>
        <w:t>on</w:t>
      </w:r>
      <w:r w:rsidR="00AB3D57">
        <w:rPr>
          <w:lang w:eastAsia="ja-JP"/>
        </w:rPr>
        <w:t>c</w:t>
      </w:r>
      <w:r w:rsidRPr="00502936">
        <w:rPr>
          <w:lang w:eastAsia="ja-JP"/>
        </w:rPr>
        <w:t xml:space="preserve">e among 16 SSB occasions is prioritized </w:t>
      </w:r>
      <w:r w:rsidR="00AB3D57">
        <w:rPr>
          <w:lang w:eastAsia="ja-JP"/>
        </w:rPr>
        <w:t xml:space="preserve">than UL transmission </w:t>
      </w:r>
      <w:r w:rsidRPr="00502936">
        <w:rPr>
          <w:lang w:eastAsia="ja-JP"/>
        </w:rPr>
        <w:t xml:space="preserve">but the remaining 15 SSB occasions can be used for dynamic UL </w:t>
      </w:r>
      <w:r w:rsidR="00AB3D57">
        <w:rPr>
          <w:lang w:eastAsia="ja-JP"/>
        </w:rPr>
        <w:t>transmission</w:t>
      </w:r>
      <w:r>
        <w:rPr>
          <w:lang w:eastAsia="ja-JP"/>
        </w:rPr>
        <w:t xml:space="preserve">", it seems not so easy to agree the rule. If </w:t>
      </w:r>
      <w:r w:rsidR="00492380">
        <w:rPr>
          <w:lang w:eastAsia="ja-JP"/>
        </w:rPr>
        <w:t>such</w:t>
      </w:r>
      <w:r>
        <w:rPr>
          <w:lang w:eastAsia="ja-JP"/>
        </w:rPr>
        <w:t xml:space="preserve"> rule is not specified, we don't think option 1 works because UE is not able to monitor SSB periodically depending on the gNB </w:t>
      </w:r>
      <w:r w:rsidR="00492380">
        <w:rPr>
          <w:lang w:eastAsia="ja-JP"/>
        </w:rPr>
        <w:t>scheduling</w:t>
      </w:r>
      <w:r>
        <w:rPr>
          <w:lang w:eastAsia="ja-JP"/>
        </w:rPr>
        <w:t xml:space="preserve"> of the UL transmission. Therefore, w</w:t>
      </w:r>
      <w:r w:rsidR="00F5434B">
        <w:rPr>
          <w:lang w:eastAsia="ja-JP"/>
        </w:rPr>
        <w:t xml:space="preserve">e </w:t>
      </w:r>
      <w:r w:rsidR="00A106CC">
        <w:rPr>
          <w:lang w:eastAsia="ja-JP"/>
        </w:rPr>
        <w:t>propose to support only</w:t>
      </w:r>
      <w:r w:rsidR="00F5434B">
        <w:rPr>
          <w:lang w:eastAsia="ja-JP"/>
        </w:rPr>
        <w:t xml:space="preserve"> option 2</w:t>
      </w:r>
      <w:r w:rsidR="00A106CC">
        <w:rPr>
          <w:lang w:eastAsia="ja-JP"/>
        </w:rPr>
        <w:t>.</w:t>
      </w:r>
    </w:p>
    <w:p w14:paraId="5A4C5153" w14:textId="4D46F79A" w:rsidR="00FE4DD0" w:rsidRDefault="00FE4DD0" w:rsidP="005D7C5A">
      <w:pPr>
        <w:rPr>
          <w:lang w:eastAsia="ja-JP"/>
        </w:rPr>
      </w:pPr>
    </w:p>
    <w:p w14:paraId="3695B90B" w14:textId="412F8DF5" w:rsidR="00A106CC" w:rsidRDefault="00A106CC" w:rsidP="00A106CC">
      <w:pPr>
        <w:pStyle w:val="Proposal"/>
      </w:pPr>
      <w:r>
        <w:rPr>
          <w:rFonts w:hint="eastAsia"/>
        </w:rPr>
        <w:t>P</w:t>
      </w:r>
      <w:r>
        <w:t>roposal 1:</w:t>
      </w:r>
      <w:r>
        <w:tab/>
        <w:t xml:space="preserve">For case 5 </w:t>
      </w:r>
      <w:r w:rsidRPr="00A106CC">
        <w:t>of dynamically scheduled UL transmission vs. SSB,</w:t>
      </w:r>
      <w:r>
        <w:t xml:space="preserve"> support only option 2</w:t>
      </w:r>
      <w:r w:rsidRPr="00A106CC">
        <w:t>: Reuse the existing collision handling principles of Rel-15/16 for NR TDD that SSB is prioritized over dynamically scheduled UL transmission</w:t>
      </w:r>
      <w:r>
        <w:t>.</w:t>
      </w:r>
    </w:p>
    <w:p w14:paraId="039939F8" w14:textId="77777777" w:rsidR="00A106CC" w:rsidRDefault="00A106CC" w:rsidP="005D7C5A">
      <w:pPr>
        <w:rPr>
          <w:lang w:eastAsia="ja-JP"/>
        </w:rPr>
      </w:pPr>
    </w:p>
    <w:p w14:paraId="0932B992" w14:textId="76CB7E2B" w:rsidR="00A106CC" w:rsidRDefault="00624ECE" w:rsidP="00A106CC">
      <w:pPr>
        <w:pStyle w:val="2"/>
        <w:numPr>
          <w:ilvl w:val="1"/>
          <w:numId w:val="1"/>
        </w:numPr>
        <w:ind w:left="627" w:hanging="627"/>
      </w:pPr>
      <w:r>
        <w:t>C</w:t>
      </w:r>
      <w:r w:rsidR="00370EAA">
        <w:t>ollision c</w:t>
      </w:r>
      <w:r>
        <w:t>ase 9: collision due to direction switching</w:t>
      </w:r>
    </w:p>
    <w:p w14:paraId="32CD6690" w14:textId="77777777" w:rsidR="00A106CC" w:rsidRDefault="00A106CC" w:rsidP="00A106CC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#106-e, the following agreement was made: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106CC" w14:paraId="1254316E" w14:textId="77777777" w:rsidTr="00877891">
        <w:tc>
          <w:tcPr>
            <w:tcW w:w="9630" w:type="dxa"/>
          </w:tcPr>
          <w:p w14:paraId="0C5D35C6" w14:textId="77777777" w:rsidR="00A106CC" w:rsidRPr="00A106CC" w:rsidRDefault="00A106CC" w:rsidP="00A106CC">
            <w:pPr>
              <w:shd w:val="clear" w:color="auto" w:fill="FFFFFF"/>
              <w:spacing w:line="233" w:lineRule="atLeast"/>
              <w:rPr>
                <w:lang w:val="en-US" w:eastAsia="ja-JP"/>
              </w:rPr>
            </w:pPr>
            <w:r w:rsidRPr="00A106CC">
              <w:rPr>
                <w:highlight w:val="green"/>
                <w:lang w:val="en-US" w:eastAsia="ja-JP"/>
              </w:rPr>
              <w:t>Agreement</w:t>
            </w:r>
          </w:p>
          <w:p w14:paraId="208EB48E" w14:textId="77777777" w:rsidR="007A6DF2" w:rsidRPr="002146D4" w:rsidRDefault="007A6DF2" w:rsidP="006F6C70">
            <w:pPr>
              <w:pStyle w:val="RAN1bullet1"/>
              <w:rPr>
                <w:rFonts w:eastAsia="Microsoft YaHei UI" w:cs="Times"/>
                <w:lang w:val="en-US" w:eastAsia="ja-JP"/>
              </w:rPr>
            </w:pPr>
            <w:r w:rsidRPr="002146D4">
              <w:t>For HD-FDD, reuse the same principle as Rel-15/16 UE not capable of full-duplex communication</w:t>
            </w:r>
          </w:p>
          <w:p w14:paraId="1DB16343" w14:textId="77777777" w:rsidR="007A6DF2" w:rsidRPr="002146D4" w:rsidRDefault="007A6DF2" w:rsidP="006F6C70">
            <w:pPr>
              <w:pStyle w:val="RAN1bullet1"/>
              <w:numPr>
                <w:ilvl w:val="1"/>
                <w:numId w:val="54"/>
              </w:numPr>
              <w:rPr>
                <w:rFonts w:eastAsia="Microsoft YaHei UI" w:cs="Times"/>
                <w:color w:val="000000"/>
                <w:lang w:val="en-US" w:eastAsia="ja-JP"/>
              </w:rPr>
            </w:pPr>
            <w:r w:rsidRPr="002146D4">
              <w:rPr>
                <w:rFonts w:ascii="Times New Roman" w:eastAsia="Gulim" w:hAnsi="Times New Roman"/>
                <w:color w:val="000000"/>
                <w:lang w:eastAsia="zh-CN"/>
              </w:rPr>
              <w:t>A HD-FDD UE is not expected to transmit in the uplink earlier than 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lang w:eastAsia="zh-CN"/>
              </w:rPr>
              <w:t>N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vertAlign w:val="subscript"/>
                <w:lang w:eastAsia="zh-CN"/>
              </w:rPr>
              <w:t>RX-TX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lang w:eastAsia="zh-CN"/>
              </w:rPr>
              <w:t> T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vertAlign w:val="subscript"/>
                <w:lang w:eastAsia="zh-CN"/>
              </w:rPr>
              <w:t>c</w:t>
            </w:r>
            <w:r w:rsidRPr="002146D4">
              <w:rPr>
                <w:rFonts w:ascii="Times New Roman" w:eastAsia="Gulim" w:hAnsi="Times New Roman"/>
                <w:color w:val="000000"/>
                <w:lang w:eastAsia="zh-CN"/>
              </w:rPr>
              <w:t> after the end of the last received downlink symbol in the same cell</w:t>
            </w:r>
          </w:p>
          <w:p w14:paraId="3939B33E" w14:textId="77777777" w:rsidR="007A6DF2" w:rsidRPr="002146D4" w:rsidRDefault="007A6DF2" w:rsidP="006F6C70">
            <w:pPr>
              <w:pStyle w:val="RAN1bullet1"/>
              <w:numPr>
                <w:ilvl w:val="1"/>
                <w:numId w:val="54"/>
              </w:numPr>
              <w:rPr>
                <w:rFonts w:eastAsia="Microsoft YaHei UI" w:cs="Times"/>
                <w:color w:val="000000"/>
                <w:lang w:val="en-US" w:eastAsia="ja-JP"/>
              </w:rPr>
            </w:pPr>
            <w:r w:rsidRPr="002146D4">
              <w:rPr>
                <w:rFonts w:ascii="Times New Roman" w:eastAsia="Gulim" w:hAnsi="Times New Roman"/>
                <w:color w:val="000000"/>
                <w:lang w:eastAsia="zh-CN"/>
              </w:rPr>
              <w:t>A HD-FDD UE is not expected to receive in the downlink earlier than 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lang w:eastAsia="zh-CN"/>
              </w:rPr>
              <w:t>N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vertAlign w:val="subscript"/>
                <w:lang w:eastAsia="zh-CN"/>
              </w:rPr>
              <w:t>TX-RX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lang w:eastAsia="zh-CN"/>
              </w:rPr>
              <w:t> T</w:t>
            </w:r>
            <w:r w:rsidRPr="002146D4">
              <w:rPr>
                <w:rFonts w:ascii="Times New Roman" w:eastAsia="Gulim" w:hAnsi="Times New Roman"/>
                <w:i/>
                <w:iCs/>
                <w:color w:val="000000"/>
                <w:vertAlign w:val="subscript"/>
                <w:lang w:eastAsia="zh-CN"/>
              </w:rPr>
              <w:t>c</w:t>
            </w:r>
            <w:r w:rsidRPr="002146D4">
              <w:rPr>
                <w:rFonts w:ascii="Times New Roman" w:eastAsia="Gulim" w:hAnsi="Times New Roman"/>
                <w:color w:val="000000"/>
                <w:lang w:eastAsia="zh-CN"/>
              </w:rPr>
              <w:t> after the end of the last transmitted uplink symbol in the same cell</w:t>
            </w:r>
          </w:p>
          <w:p w14:paraId="759E2A4F" w14:textId="77777777" w:rsidR="007A6DF2" w:rsidRPr="002146D4" w:rsidRDefault="007A6DF2" w:rsidP="006F6C70">
            <w:pPr>
              <w:pStyle w:val="RAN1bullet1"/>
              <w:numPr>
                <w:ilvl w:val="1"/>
                <w:numId w:val="54"/>
              </w:numPr>
              <w:rPr>
                <w:rFonts w:eastAsia="Microsoft YaHei UI" w:cs="Times"/>
                <w:color w:val="000000"/>
                <w:lang w:val="en-US" w:eastAsia="ja-JP"/>
              </w:rPr>
            </w:pP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lang w:eastAsia="ja-JP"/>
              </w:rPr>
              <w:t>N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vertAlign w:val="subscript"/>
                <w:lang w:eastAsia="ja-JP"/>
              </w:rPr>
              <w:t>RX-TX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lang w:eastAsia="ja-JP"/>
              </w:rPr>
              <w:t> T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vertAlign w:val="subscript"/>
                <w:lang w:eastAsia="ja-JP"/>
              </w:rPr>
              <w:t>c</w:t>
            </w:r>
            <w:r w:rsidRPr="002146D4">
              <w:rPr>
                <w:rFonts w:ascii="Times New Roman" w:eastAsia="Microsoft YaHei UI" w:hAnsi="Times New Roman"/>
                <w:color w:val="000000"/>
                <w:lang w:eastAsia="ja-JP"/>
              </w:rPr>
              <w:t> and 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lang w:eastAsia="ja-JP"/>
              </w:rPr>
              <w:t>N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vertAlign w:val="subscript"/>
                <w:lang w:eastAsia="ja-JP"/>
              </w:rPr>
              <w:t>TX-RX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lang w:eastAsia="ja-JP"/>
              </w:rPr>
              <w:t> T</w:t>
            </w:r>
            <w:r w:rsidRPr="002146D4">
              <w:rPr>
                <w:rFonts w:ascii="Times New Roman" w:eastAsia="Microsoft YaHei UI" w:hAnsi="Times New Roman"/>
                <w:i/>
                <w:iCs/>
                <w:color w:val="000000"/>
                <w:vertAlign w:val="subscript"/>
                <w:lang w:eastAsia="ja-JP"/>
              </w:rPr>
              <w:t>c</w:t>
            </w:r>
            <w:r w:rsidRPr="002146D4">
              <w:rPr>
                <w:rFonts w:ascii="Times New Roman" w:eastAsia="Microsoft YaHei UI" w:hAnsi="Times New Roman"/>
                <w:color w:val="000000"/>
                <w:lang w:eastAsia="ja-JP"/>
              </w:rPr>
              <w:t> are the same as the transition time for FR1 in Table 4.3.2-3, TS 38.211 for a UE not capable of full-duplex communication</w:t>
            </w:r>
          </w:p>
          <w:p w14:paraId="6EE494F0" w14:textId="77777777" w:rsidR="00A106CC" w:rsidRPr="00A106CC" w:rsidRDefault="00A106CC" w:rsidP="007A6DF2">
            <w:pPr>
              <w:pStyle w:val="RAN1bullet1"/>
              <w:rPr>
                <w:lang w:val="en-US"/>
              </w:rPr>
            </w:pPr>
            <w:r w:rsidRPr="00A106CC">
              <w:rPr>
                <w:lang w:val="en-US"/>
              </w:rPr>
              <w:t>(Working Assumption) The “back-to-back” non-overlapping UL/DL without sufficient gap between RRC configured UL and DL may happen, i.e., are allowed for HD-FDD UEs.</w:t>
            </w:r>
          </w:p>
          <w:p w14:paraId="5232BB3D" w14:textId="77777777" w:rsidR="00A106CC" w:rsidRPr="00A106CC" w:rsidRDefault="00A106CC" w:rsidP="007A6DF2">
            <w:pPr>
              <w:pStyle w:val="RAN1bullet1"/>
              <w:numPr>
                <w:ilvl w:val="1"/>
                <w:numId w:val="54"/>
              </w:numPr>
              <w:rPr>
                <w:lang w:val="en-US"/>
              </w:rPr>
            </w:pPr>
            <w:r w:rsidRPr="00A106CC">
              <w:rPr>
                <w:lang w:val="en-US"/>
              </w:rPr>
              <w:t>RRC configured DL/UL includes at least cell specific higher layer parameters configured DL/UL</w:t>
            </w:r>
          </w:p>
          <w:p w14:paraId="7F45FD54" w14:textId="77777777" w:rsidR="00A106CC" w:rsidRPr="00A106CC" w:rsidRDefault="00A106CC" w:rsidP="007A6DF2">
            <w:pPr>
              <w:pStyle w:val="RAN1bullet1"/>
              <w:numPr>
                <w:ilvl w:val="1"/>
                <w:numId w:val="54"/>
              </w:numPr>
              <w:rPr>
                <w:lang w:val="en-US"/>
              </w:rPr>
            </w:pPr>
            <w:r w:rsidRPr="00A106CC">
              <w:rPr>
                <w:lang w:val="en-US"/>
              </w:rPr>
              <w:t>Discuss further whether to specify a clear UE behavior, or leave it to UE implementation to ensure that the switching time is satisfied</w:t>
            </w:r>
          </w:p>
          <w:p w14:paraId="646503EB" w14:textId="3B148E7B" w:rsidR="00A106CC" w:rsidRPr="0027336A" w:rsidRDefault="00A106CC" w:rsidP="007A6DF2">
            <w:pPr>
              <w:pStyle w:val="RAN1bullet1"/>
              <w:numPr>
                <w:ilvl w:val="1"/>
                <w:numId w:val="54"/>
              </w:numPr>
              <w:rPr>
                <w:rFonts w:ascii="Times New Roman" w:hAnsi="Times New Roman"/>
                <w:lang w:val="en-US"/>
              </w:rPr>
            </w:pPr>
            <w:r w:rsidRPr="00A106CC">
              <w:rPr>
                <w:lang w:val="en-US"/>
              </w:rPr>
              <w:t>Note: This does not mean a HD-FDD UE is required to support the back-to-back UL/DL switching without sufficient gap</w:t>
            </w:r>
          </w:p>
        </w:tc>
      </w:tr>
    </w:tbl>
    <w:p w14:paraId="1FBD28C1" w14:textId="011C3D62" w:rsidR="00A106CC" w:rsidRDefault="00A106CC" w:rsidP="005D7C5A">
      <w:pPr>
        <w:rPr>
          <w:lang w:eastAsia="ja-JP"/>
        </w:rPr>
      </w:pPr>
    </w:p>
    <w:p w14:paraId="3D9DA9BA" w14:textId="7DA4460B" w:rsidR="00EF40C5" w:rsidRPr="00EF40C5" w:rsidRDefault="00A106CC" w:rsidP="00A106CC">
      <w:pPr>
        <w:tabs>
          <w:tab w:val="left" w:pos="1210"/>
        </w:tabs>
        <w:rPr>
          <w:rFonts w:hint="eastAsia"/>
          <w:lang w:val="en-US" w:eastAsia="ja-JP"/>
        </w:rPr>
      </w:pPr>
      <w:r>
        <w:rPr>
          <w:rFonts w:eastAsia="DengXian"/>
          <w:lang w:val="en-US" w:eastAsia="zh-CN"/>
        </w:rPr>
        <w:t xml:space="preserve">Regarding the working assumption, it is not </w:t>
      </w:r>
      <w:r w:rsidR="00D10167">
        <w:rPr>
          <w:rFonts w:eastAsia="DengXian"/>
          <w:lang w:val="en-US" w:eastAsia="zh-CN"/>
        </w:rPr>
        <w:t>concluded</w:t>
      </w:r>
      <w:r>
        <w:rPr>
          <w:rFonts w:eastAsia="DengXian"/>
          <w:lang w:val="en-US" w:eastAsia="zh-CN"/>
        </w:rPr>
        <w:t xml:space="preserve"> </w:t>
      </w:r>
      <w:r w:rsidRPr="00A106CC">
        <w:rPr>
          <w:rFonts w:eastAsia="DengXian"/>
          <w:lang w:val="en-US" w:eastAsia="zh-CN"/>
        </w:rPr>
        <w:t>whether to specify a clear UE behavior, or leave it to UE implementation to ensure that the switching time is satisfied</w:t>
      </w:r>
      <w:r>
        <w:rPr>
          <w:rFonts w:eastAsia="DengXian"/>
          <w:lang w:val="en-US" w:eastAsia="zh-CN"/>
        </w:rPr>
        <w:t xml:space="preserve">. In our view, leave it to UE implementation is simpler and </w:t>
      </w:r>
      <w:r w:rsidR="00D10167">
        <w:rPr>
          <w:rFonts w:eastAsia="DengXian"/>
          <w:lang w:val="en-US" w:eastAsia="zh-CN"/>
        </w:rPr>
        <w:t>sufficient</w:t>
      </w:r>
      <w:r w:rsidR="00E44AB1">
        <w:rPr>
          <w:rFonts w:eastAsia="DengXian"/>
          <w:lang w:val="en-US" w:eastAsia="zh-CN"/>
        </w:rPr>
        <w:t xml:space="preserve"> </w:t>
      </w:r>
      <w:r w:rsidR="00D82B04">
        <w:rPr>
          <w:rFonts w:eastAsia="DengXian"/>
          <w:lang w:val="en-US" w:eastAsia="zh-CN"/>
        </w:rPr>
        <w:t xml:space="preserve">It means </w:t>
      </w:r>
      <w:r w:rsidR="003A4021">
        <w:rPr>
          <w:rFonts w:eastAsia="DengXian"/>
          <w:lang w:val="en-US" w:eastAsia="zh-CN"/>
        </w:rPr>
        <w:t xml:space="preserve">following </w:t>
      </w:r>
      <w:r w:rsidR="00F07F2B">
        <w:rPr>
          <w:rFonts w:eastAsia="DengXian"/>
          <w:lang w:val="en-US" w:eastAsia="zh-CN"/>
        </w:rPr>
        <w:t xml:space="preserve">meaning </w:t>
      </w:r>
      <w:r w:rsidR="003A4021">
        <w:rPr>
          <w:rFonts w:eastAsia="DengXian"/>
          <w:lang w:val="en-US" w:eastAsia="zh-CN"/>
        </w:rPr>
        <w:t xml:space="preserve">in our view. </w:t>
      </w:r>
      <w:r w:rsidR="00F07F2B">
        <w:rPr>
          <w:rFonts w:eastAsia="DengXian"/>
          <w:lang w:val="en-US" w:eastAsia="zh-CN"/>
        </w:rPr>
        <w:t>We think such meaning is reasonable</w:t>
      </w:r>
      <w:r w:rsidR="00EE78B0">
        <w:rPr>
          <w:rFonts w:eastAsia="DengXian"/>
          <w:lang w:val="en-US" w:eastAsia="zh-CN"/>
        </w:rPr>
        <w:t>.</w:t>
      </w:r>
    </w:p>
    <w:p w14:paraId="5711CE05" w14:textId="25621D2B" w:rsidR="003A4021" w:rsidRDefault="003A4021" w:rsidP="00EF40C5">
      <w:pPr>
        <w:pStyle w:val="RAN1bullet1"/>
        <w:rPr>
          <w:lang w:val="en-US"/>
        </w:rPr>
      </w:pPr>
      <w:r>
        <w:rPr>
          <w:lang w:val="en-US"/>
        </w:rPr>
        <w:lastRenderedPageBreak/>
        <w:t xml:space="preserve">When the network would like to protect either </w:t>
      </w:r>
      <w:r w:rsidRPr="00A106CC">
        <w:rPr>
          <w:lang w:val="en-US"/>
        </w:rPr>
        <w:t xml:space="preserve">RRC configured UL </w:t>
      </w:r>
      <w:r>
        <w:rPr>
          <w:lang w:val="en-US"/>
        </w:rPr>
        <w:t>or</w:t>
      </w:r>
      <w:r w:rsidRPr="00A106CC">
        <w:rPr>
          <w:lang w:val="en-US"/>
        </w:rPr>
        <w:t xml:space="preserve"> DL</w:t>
      </w:r>
      <w:r>
        <w:rPr>
          <w:lang w:val="en-US"/>
        </w:rPr>
        <w:t xml:space="preserve">, the network is </w:t>
      </w:r>
      <w:r w:rsidR="00D82B04">
        <w:rPr>
          <w:lang w:val="en-US"/>
        </w:rPr>
        <w:t>recommended to avoid t</w:t>
      </w:r>
      <w:r w:rsidR="00D82B04" w:rsidRPr="00D82B04">
        <w:rPr>
          <w:lang w:val="en-US"/>
        </w:rPr>
        <w:t>he “back-to-back” non-overlapping UL/DL without sufficient ga</w:t>
      </w:r>
      <w:r>
        <w:rPr>
          <w:lang w:val="en-US"/>
        </w:rPr>
        <w:t>p.</w:t>
      </w:r>
    </w:p>
    <w:p w14:paraId="4B03ABDA" w14:textId="38645F2E" w:rsidR="003A4021" w:rsidRDefault="003A4021" w:rsidP="00EF40C5">
      <w:pPr>
        <w:pStyle w:val="RAN1bullet1"/>
        <w:rPr>
          <w:lang w:val="en-US"/>
        </w:rPr>
      </w:pPr>
      <w:r>
        <w:rPr>
          <w:lang w:val="en-US"/>
        </w:rPr>
        <w:t>The network can configure t</w:t>
      </w:r>
      <w:r w:rsidRPr="00D82B04">
        <w:rPr>
          <w:lang w:val="en-US"/>
        </w:rPr>
        <w:t>he “back-to-back” non-overlapping UL/DL without sufficient ga</w:t>
      </w:r>
      <w:r>
        <w:rPr>
          <w:lang w:val="en-US"/>
        </w:rPr>
        <w:t xml:space="preserve">p. In such case, as </w:t>
      </w:r>
      <w:r w:rsidRPr="00A106CC">
        <w:rPr>
          <w:lang w:val="en-US"/>
        </w:rPr>
        <w:t>RRC configured UL and DL</w:t>
      </w:r>
      <w:r>
        <w:rPr>
          <w:lang w:val="en-US"/>
        </w:rPr>
        <w:t xml:space="preserve"> transmission does not always happen, UE is recommended to implement to prioritize the DL or UL with the request/traffic but</w:t>
      </w:r>
      <w:r w:rsidR="008265C6">
        <w:rPr>
          <w:lang w:val="en-US"/>
        </w:rPr>
        <w:t xml:space="preserve"> </w:t>
      </w:r>
      <w:r w:rsidR="001C1550">
        <w:rPr>
          <w:lang w:val="en-US"/>
        </w:rPr>
        <w:t xml:space="preserve">exact realization </w:t>
      </w:r>
      <w:r w:rsidR="008265C6">
        <w:rPr>
          <w:lang w:val="en-US"/>
        </w:rPr>
        <w:t>on which one is prioritized is</w:t>
      </w:r>
      <w:r w:rsidR="001C1550">
        <w:rPr>
          <w:lang w:val="en-US"/>
        </w:rPr>
        <w:t xml:space="preserve"> up to UE implementation</w:t>
      </w:r>
      <w:r>
        <w:rPr>
          <w:lang w:val="en-US"/>
        </w:rPr>
        <w:t>.</w:t>
      </w:r>
    </w:p>
    <w:p w14:paraId="336B7B72" w14:textId="32E4A5B3" w:rsidR="00A106CC" w:rsidRDefault="00A106CC" w:rsidP="00A106CC">
      <w:pPr>
        <w:rPr>
          <w:lang w:eastAsia="ja-JP"/>
        </w:rPr>
      </w:pPr>
    </w:p>
    <w:p w14:paraId="618C8459" w14:textId="46646E64" w:rsidR="00A106CC" w:rsidRPr="00A106CC" w:rsidRDefault="00150989" w:rsidP="00150989">
      <w:pPr>
        <w:pStyle w:val="Proposal"/>
        <w:rPr>
          <w:lang w:val="en-GB"/>
        </w:rPr>
      </w:pPr>
      <w:r>
        <w:rPr>
          <w:rFonts w:hint="eastAsia"/>
        </w:rPr>
        <w:t>P</w:t>
      </w:r>
      <w:r>
        <w:t>roposal 2:</w:t>
      </w:r>
      <w:r>
        <w:tab/>
        <w:t>For the “</w:t>
      </w:r>
      <w:r w:rsidRPr="00150989">
        <w:t>back-to-back” non-overlapping UL/DL without sufficient gap between RRC configured UL and DL</w:t>
      </w:r>
      <w:r>
        <w:t xml:space="preserve">, </w:t>
      </w:r>
      <w:r w:rsidRPr="00150989">
        <w:t>leave it to UE implementation to ensure that the switching time is satisfied</w:t>
      </w:r>
    </w:p>
    <w:p w14:paraId="065D6FB3" w14:textId="77777777" w:rsidR="00346FDD" w:rsidRPr="00A106CC" w:rsidRDefault="00346FDD" w:rsidP="005D7C5A">
      <w:pPr>
        <w:rPr>
          <w:lang w:eastAsia="ja-JP"/>
        </w:rPr>
      </w:pPr>
    </w:p>
    <w:p w14:paraId="1B75EB0C" w14:textId="77777777" w:rsidR="002D16AB" w:rsidRDefault="002D16AB" w:rsidP="004B388F">
      <w:pPr>
        <w:pStyle w:val="1"/>
      </w:pPr>
      <w:r>
        <w:t>Conclusion</w:t>
      </w:r>
    </w:p>
    <w:p w14:paraId="0A9BA374" w14:textId="77777777" w:rsidR="00166C42" w:rsidRDefault="00166C42" w:rsidP="00166C42">
      <w:pPr>
        <w:pStyle w:val="Proposal"/>
      </w:pPr>
      <w:r>
        <w:rPr>
          <w:rFonts w:hint="eastAsia"/>
        </w:rPr>
        <w:t>P</w:t>
      </w:r>
      <w:r>
        <w:t>roposal 1:</w:t>
      </w:r>
      <w:r>
        <w:tab/>
        <w:t xml:space="preserve">For case 5 </w:t>
      </w:r>
      <w:r w:rsidRPr="00A106CC">
        <w:t>of dynamically scheduled UL transmission vs. SSB,</w:t>
      </w:r>
      <w:r>
        <w:t xml:space="preserve"> support only option 2</w:t>
      </w:r>
      <w:r w:rsidRPr="00A106CC">
        <w:t>: Reuse the existing collision handling principles of Rel-15/16 for NR TDD that SSB is prioritized over dynamically scheduled UL transmission</w:t>
      </w:r>
      <w:r>
        <w:t>.</w:t>
      </w:r>
    </w:p>
    <w:p w14:paraId="6FBE6DE9" w14:textId="77777777" w:rsidR="00166C42" w:rsidRPr="00A106CC" w:rsidRDefault="00166C42" w:rsidP="00166C42">
      <w:pPr>
        <w:pStyle w:val="Proposal"/>
        <w:rPr>
          <w:lang w:val="en-GB"/>
        </w:rPr>
      </w:pPr>
      <w:r>
        <w:rPr>
          <w:rFonts w:hint="eastAsia"/>
        </w:rPr>
        <w:t>P</w:t>
      </w:r>
      <w:r>
        <w:t>roposal 2:</w:t>
      </w:r>
      <w:r>
        <w:tab/>
        <w:t>For the “</w:t>
      </w:r>
      <w:r w:rsidRPr="00150989">
        <w:t>back-to-back” non-overlapping UL/DL without sufficient gap between RRC configured UL and DL</w:t>
      </w:r>
      <w:r>
        <w:t xml:space="preserve">, </w:t>
      </w:r>
      <w:r w:rsidRPr="00150989">
        <w:t>leave it to UE implementation to ensure that the switching time is satisfied</w:t>
      </w:r>
    </w:p>
    <w:p w14:paraId="15C6DB04" w14:textId="77777777" w:rsidR="00BD41F1" w:rsidRPr="00166C42" w:rsidRDefault="00BD41F1" w:rsidP="005D7C5A"/>
    <w:sectPr w:rsidR="00BD41F1" w:rsidRPr="00166C42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C4A28" w14:textId="77777777" w:rsidR="00F6367F" w:rsidRDefault="00F6367F">
      <w:r>
        <w:separator/>
      </w:r>
    </w:p>
  </w:endnote>
  <w:endnote w:type="continuationSeparator" w:id="0">
    <w:p w14:paraId="596159C6" w14:textId="77777777" w:rsidR="00F6367F" w:rsidRDefault="00F6367F">
      <w:r>
        <w:continuationSeparator/>
      </w:r>
    </w:p>
  </w:endnote>
  <w:endnote w:type="continuationNotice" w:id="1">
    <w:p w14:paraId="3CFA23AE" w14:textId="77777777" w:rsidR="00F6367F" w:rsidRDefault="00F63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D1E2B" w14:textId="77777777" w:rsidR="00F6367F" w:rsidRDefault="00F6367F">
      <w:r>
        <w:separator/>
      </w:r>
    </w:p>
  </w:footnote>
  <w:footnote w:type="continuationSeparator" w:id="0">
    <w:p w14:paraId="6BB054E4" w14:textId="77777777" w:rsidR="00F6367F" w:rsidRDefault="00F6367F">
      <w:r>
        <w:continuationSeparator/>
      </w:r>
    </w:p>
  </w:footnote>
  <w:footnote w:type="continuationNotice" w:id="1">
    <w:p w14:paraId="62AC9BCA" w14:textId="77777777" w:rsidR="00F6367F" w:rsidRDefault="00F636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762DC8"/>
    <w:multiLevelType w:val="hybridMultilevel"/>
    <w:tmpl w:val="41B8B6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1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392DD4"/>
    <w:multiLevelType w:val="multilevel"/>
    <w:tmpl w:val="0B392D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0DF809A9"/>
    <w:multiLevelType w:val="hybridMultilevel"/>
    <w:tmpl w:val="913C1E5A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3330CB"/>
    <w:multiLevelType w:val="hybridMultilevel"/>
    <w:tmpl w:val="2B6E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8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3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7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3D14BFD"/>
    <w:multiLevelType w:val="multilevel"/>
    <w:tmpl w:val="E3F2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0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4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5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51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2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4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2B83EC5"/>
    <w:multiLevelType w:val="hybridMultilevel"/>
    <w:tmpl w:val="81D8B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2C364B7"/>
    <w:multiLevelType w:val="hybridMultilevel"/>
    <w:tmpl w:val="23A2576C"/>
    <w:lvl w:ilvl="0" w:tplc="5A92087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6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5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6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7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2320BFC"/>
    <w:multiLevelType w:val="hybridMultilevel"/>
    <w:tmpl w:val="8E1C5E66"/>
    <w:lvl w:ilvl="0" w:tplc="7462563C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59346859"/>
    <w:multiLevelType w:val="hybridMultilevel"/>
    <w:tmpl w:val="C70A7D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5E9C4C98"/>
    <w:multiLevelType w:val="hybridMultilevel"/>
    <w:tmpl w:val="4D10B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9" w15:restartNumberingAfterBreak="0">
    <w:nsid w:val="62191AAE"/>
    <w:multiLevelType w:val="hybridMultilevel"/>
    <w:tmpl w:val="685288C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0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1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3" w15:restartNumberingAfterBreak="0">
    <w:nsid w:val="68E31DFD"/>
    <w:multiLevelType w:val="hybridMultilevel"/>
    <w:tmpl w:val="C05C07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5" w15:restartNumberingAfterBreak="0">
    <w:nsid w:val="6B2362C4"/>
    <w:multiLevelType w:val="hybridMultilevel"/>
    <w:tmpl w:val="6A967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9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43A1CF9"/>
    <w:multiLevelType w:val="hybridMultilevel"/>
    <w:tmpl w:val="853CAEBC"/>
    <w:lvl w:ilvl="0" w:tplc="D8A25B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486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542154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90BA6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AE3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D805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F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A630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6F8F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9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9" w15:restartNumberingAfterBreak="0">
    <w:nsid w:val="788F46BF"/>
    <w:multiLevelType w:val="hybridMultilevel"/>
    <w:tmpl w:val="71AC4A44"/>
    <w:lvl w:ilvl="0" w:tplc="42C885E0">
      <w:numFmt w:val="bullet"/>
      <w:lvlText w:val="-"/>
      <w:lvlJc w:val="left"/>
      <w:pPr>
        <w:ind w:left="20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00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8"/>
  </w:num>
  <w:num w:numId="2">
    <w:abstractNumId w:val="98"/>
  </w:num>
  <w:num w:numId="3">
    <w:abstractNumId w:val="98"/>
  </w:num>
  <w:num w:numId="4">
    <w:abstractNumId w:val="98"/>
  </w:num>
  <w:num w:numId="5">
    <w:abstractNumId w:val="98"/>
  </w:num>
  <w:num w:numId="6">
    <w:abstractNumId w:val="98"/>
  </w:num>
  <w:num w:numId="7">
    <w:abstractNumId w:val="23"/>
  </w:num>
  <w:num w:numId="8">
    <w:abstractNumId w:val="84"/>
  </w:num>
  <w:num w:numId="9">
    <w:abstractNumId w:val="90"/>
  </w:num>
  <w:num w:numId="10">
    <w:abstractNumId w:val="88"/>
  </w:num>
  <w:num w:numId="11">
    <w:abstractNumId w:val="33"/>
  </w:num>
  <w:num w:numId="12">
    <w:abstractNumId w:val="10"/>
  </w:num>
  <w:num w:numId="13">
    <w:abstractNumId w:val="60"/>
  </w:num>
  <w:num w:numId="14">
    <w:abstractNumId w:val="80"/>
  </w:num>
  <w:num w:numId="15">
    <w:abstractNumId w:val="94"/>
  </w:num>
  <w:num w:numId="16">
    <w:abstractNumId w:val="46"/>
  </w:num>
  <w:num w:numId="17">
    <w:abstractNumId w:val="66"/>
  </w:num>
  <w:num w:numId="18">
    <w:abstractNumId w:val="34"/>
  </w:num>
  <w:num w:numId="19">
    <w:abstractNumId w:val="17"/>
  </w:num>
  <w:num w:numId="20">
    <w:abstractNumId w:val="22"/>
  </w:num>
  <w:num w:numId="21">
    <w:abstractNumId w:val="56"/>
  </w:num>
  <w:num w:numId="22">
    <w:abstractNumId w:val="98"/>
  </w:num>
  <w:num w:numId="23">
    <w:abstractNumId w:val="98"/>
  </w:num>
  <w:num w:numId="24">
    <w:abstractNumId w:val="98"/>
  </w:num>
  <w:num w:numId="25">
    <w:abstractNumId w:val="56"/>
  </w:num>
  <w:num w:numId="26">
    <w:abstractNumId w:val="62"/>
  </w:num>
  <w:num w:numId="27">
    <w:abstractNumId w:val="59"/>
  </w:num>
  <w:num w:numId="28">
    <w:abstractNumId w:val="2"/>
  </w:num>
  <w:num w:numId="29">
    <w:abstractNumId w:val="9"/>
  </w:num>
  <w:num w:numId="30">
    <w:abstractNumId w:val="40"/>
  </w:num>
  <w:num w:numId="31">
    <w:abstractNumId w:val="52"/>
  </w:num>
  <w:num w:numId="32">
    <w:abstractNumId w:val="64"/>
  </w:num>
  <w:num w:numId="33">
    <w:abstractNumId w:val="43"/>
  </w:num>
  <w:num w:numId="34">
    <w:abstractNumId w:val="73"/>
  </w:num>
  <w:num w:numId="35">
    <w:abstractNumId w:val="81"/>
  </w:num>
  <w:num w:numId="36">
    <w:abstractNumId w:val="76"/>
  </w:num>
  <w:num w:numId="37">
    <w:abstractNumId w:val="82"/>
  </w:num>
  <w:num w:numId="38">
    <w:abstractNumId w:val="78"/>
  </w:num>
  <w:num w:numId="39">
    <w:abstractNumId w:val="103"/>
  </w:num>
  <w:num w:numId="40">
    <w:abstractNumId w:val="53"/>
  </w:num>
  <w:num w:numId="41">
    <w:abstractNumId w:val="49"/>
  </w:num>
  <w:num w:numId="42">
    <w:abstractNumId w:val="39"/>
  </w:num>
  <w:num w:numId="43">
    <w:abstractNumId w:val="29"/>
  </w:num>
  <w:num w:numId="44">
    <w:abstractNumId w:val="48"/>
  </w:num>
  <w:num w:numId="45">
    <w:abstractNumId w:val="96"/>
  </w:num>
  <w:num w:numId="46">
    <w:abstractNumId w:val="32"/>
  </w:num>
  <w:num w:numId="47">
    <w:abstractNumId w:val="55"/>
  </w:num>
  <w:num w:numId="48">
    <w:abstractNumId w:val="67"/>
  </w:num>
  <w:num w:numId="49">
    <w:abstractNumId w:val="25"/>
  </w:num>
  <w:num w:numId="50">
    <w:abstractNumId w:val="19"/>
  </w:num>
  <w:num w:numId="51">
    <w:abstractNumId w:val="86"/>
  </w:num>
  <w:num w:numId="52">
    <w:abstractNumId w:val="100"/>
  </w:num>
  <w:num w:numId="53">
    <w:abstractNumId w:val="30"/>
  </w:num>
  <w:num w:numId="54">
    <w:abstractNumId w:val="6"/>
  </w:num>
  <w:num w:numId="55">
    <w:abstractNumId w:val="97"/>
  </w:num>
  <w:num w:numId="56">
    <w:abstractNumId w:val="4"/>
  </w:num>
  <w:num w:numId="57">
    <w:abstractNumId w:val="24"/>
  </w:num>
  <w:num w:numId="58">
    <w:abstractNumId w:val="8"/>
  </w:num>
  <w:num w:numId="59">
    <w:abstractNumId w:val="71"/>
  </w:num>
  <w:num w:numId="60">
    <w:abstractNumId w:val="65"/>
  </w:num>
  <w:num w:numId="61">
    <w:abstractNumId w:val="101"/>
  </w:num>
  <w:num w:numId="62">
    <w:abstractNumId w:val="35"/>
  </w:num>
  <w:num w:numId="63">
    <w:abstractNumId w:val="31"/>
  </w:num>
  <w:num w:numId="64">
    <w:abstractNumId w:val="95"/>
  </w:num>
  <w:num w:numId="65">
    <w:abstractNumId w:val="89"/>
  </w:num>
  <w:num w:numId="66">
    <w:abstractNumId w:val="70"/>
  </w:num>
  <w:num w:numId="67">
    <w:abstractNumId w:val="26"/>
  </w:num>
  <w:num w:numId="68">
    <w:abstractNumId w:val="37"/>
  </w:num>
  <w:num w:numId="69">
    <w:abstractNumId w:val="20"/>
  </w:num>
  <w:num w:numId="70">
    <w:abstractNumId w:val="69"/>
  </w:num>
  <w:num w:numId="71">
    <w:abstractNumId w:val="61"/>
  </w:num>
  <w:num w:numId="72">
    <w:abstractNumId w:val="75"/>
  </w:num>
  <w:num w:numId="73">
    <w:abstractNumId w:val="91"/>
  </w:num>
  <w:num w:numId="74">
    <w:abstractNumId w:val="44"/>
  </w:num>
  <w:num w:numId="75">
    <w:abstractNumId w:val="13"/>
  </w:num>
  <w:num w:numId="76">
    <w:abstractNumId w:val="11"/>
  </w:num>
  <w:num w:numId="77">
    <w:abstractNumId w:val="1"/>
  </w:num>
  <w:num w:numId="78">
    <w:abstractNumId w:val="15"/>
  </w:num>
  <w:num w:numId="79">
    <w:abstractNumId w:val="47"/>
  </w:num>
  <w:num w:numId="80">
    <w:abstractNumId w:val="42"/>
  </w:num>
  <w:num w:numId="81">
    <w:abstractNumId w:val="54"/>
  </w:num>
  <w:num w:numId="82">
    <w:abstractNumId w:val="87"/>
  </w:num>
  <w:num w:numId="83">
    <w:abstractNumId w:val="50"/>
  </w:num>
  <w:num w:numId="84">
    <w:abstractNumId w:val="27"/>
  </w:num>
  <w:num w:numId="85">
    <w:abstractNumId w:val="3"/>
  </w:num>
  <w:num w:numId="86">
    <w:abstractNumId w:val="18"/>
  </w:num>
  <w:num w:numId="87">
    <w:abstractNumId w:val="93"/>
  </w:num>
  <w:num w:numId="88">
    <w:abstractNumId w:val="38"/>
  </w:num>
  <w:num w:numId="89">
    <w:abstractNumId w:val="36"/>
  </w:num>
  <w:num w:numId="90">
    <w:abstractNumId w:val="41"/>
  </w:num>
  <w:num w:numId="91">
    <w:abstractNumId w:val="21"/>
  </w:num>
  <w:num w:numId="92">
    <w:abstractNumId w:val="102"/>
  </w:num>
  <w:num w:numId="93">
    <w:abstractNumId w:val="45"/>
  </w:num>
  <w:num w:numId="94">
    <w:abstractNumId w:val="51"/>
  </w:num>
  <w:num w:numId="95">
    <w:abstractNumId w:val="0"/>
  </w:num>
  <w:num w:numId="96">
    <w:abstractNumId w:val="7"/>
  </w:num>
  <w:num w:numId="97">
    <w:abstractNumId w:val="72"/>
  </w:num>
  <w:num w:numId="98">
    <w:abstractNumId w:val="92"/>
  </w:num>
  <w:num w:numId="99">
    <w:abstractNumId w:val="99"/>
  </w:num>
  <w:num w:numId="100">
    <w:abstractNumId w:val="14"/>
  </w:num>
  <w:num w:numId="101">
    <w:abstractNumId w:val="12"/>
  </w:num>
  <w:num w:numId="102">
    <w:abstractNumId w:val="63"/>
  </w:num>
  <w:num w:numId="103">
    <w:abstractNumId w:val="5"/>
  </w:num>
  <w:num w:numId="104">
    <w:abstractNumId w:val="57"/>
  </w:num>
  <w:num w:numId="105">
    <w:abstractNumId w:val="79"/>
  </w:num>
  <w:num w:numId="106">
    <w:abstractNumId w:val="16"/>
  </w:num>
  <w:num w:numId="107">
    <w:abstractNumId w:val="77"/>
  </w:num>
  <w:num w:numId="108">
    <w:abstractNumId w:val="58"/>
  </w:num>
  <w:num w:numId="109">
    <w:abstractNumId w:val="68"/>
  </w:num>
  <w:num w:numId="110">
    <w:abstractNumId w:val="83"/>
  </w:num>
  <w:num w:numId="111">
    <w:abstractNumId w:val="74"/>
  </w:num>
  <w:num w:numId="112">
    <w:abstractNumId w:val="85"/>
  </w:num>
  <w:num w:numId="113">
    <w:abstractNumId w:val="104"/>
  </w:num>
  <w:num w:numId="114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D0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BA8"/>
    <w:rsid w:val="00066B7B"/>
    <w:rsid w:val="00067337"/>
    <w:rsid w:val="0006792B"/>
    <w:rsid w:val="00070E79"/>
    <w:rsid w:val="000717B4"/>
    <w:rsid w:val="00071AE6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0B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0989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6C42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315"/>
    <w:rsid w:val="001763BC"/>
    <w:rsid w:val="00177ACB"/>
    <w:rsid w:val="00183744"/>
    <w:rsid w:val="00183E76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1550"/>
    <w:rsid w:val="001C1973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263A"/>
    <w:rsid w:val="002B3E18"/>
    <w:rsid w:val="002B438D"/>
    <w:rsid w:val="002B67CD"/>
    <w:rsid w:val="002B72B5"/>
    <w:rsid w:val="002C0901"/>
    <w:rsid w:val="002C3BCB"/>
    <w:rsid w:val="002C5FC5"/>
    <w:rsid w:val="002C680F"/>
    <w:rsid w:val="002C7613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2B2E"/>
    <w:rsid w:val="0031321E"/>
    <w:rsid w:val="00314D9E"/>
    <w:rsid w:val="00315576"/>
    <w:rsid w:val="00315C78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1FEA"/>
    <w:rsid w:val="00345221"/>
    <w:rsid w:val="00346FDD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0EAA"/>
    <w:rsid w:val="00371FF0"/>
    <w:rsid w:val="003723B6"/>
    <w:rsid w:val="00372510"/>
    <w:rsid w:val="003726A8"/>
    <w:rsid w:val="00372FE9"/>
    <w:rsid w:val="00374B96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021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380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3B0C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2936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A8A"/>
    <w:rsid w:val="00536CFF"/>
    <w:rsid w:val="00537628"/>
    <w:rsid w:val="00537F76"/>
    <w:rsid w:val="00540723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DEC"/>
    <w:rsid w:val="00593499"/>
    <w:rsid w:val="00593917"/>
    <w:rsid w:val="005953C7"/>
    <w:rsid w:val="00595488"/>
    <w:rsid w:val="005967DE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D7C5A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4ECE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6F6C70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56EC"/>
    <w:rsid w:val="00706497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8098E"/>
    <w:rsid w:val="00780AA8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53A6"/>
    <w:rsid w:val="007A5C7D"/>
    <w:rsid w:val="007A613B"/>
    <w:rsid w:val="007A63DB"/>
    <w:rsid w:val="007A6DF2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5C6"/>
    <w:rsid w:val="00826D03"/>
    <w:rsid w:val="00826FD7"/>
    <w:rsid w:val="008275B3"/>
    <w:rsid w:val="008277AA"/>
    <w:rsid w:val="0083080E"/>
    <w:rsid w:val="00830887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276D"/>
    <w:rsid w:val="00865F54"/>
    <w:rsid w:val="00866102"/>
    <w:rsid w:val="008662DB"/>
    <w:rsid w:val="00866D55"/>
    <w:rsid w:val="00867C29"/>
    <w:rsid w:val="00871D87"/>
    <w:rsid w:val="008757B9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2DD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CA5"/>
    <w:rsid w:val="008C2498"/>
    <w:rsid w:val="008C34E8"/>
    <w:rsid w:val="008C45F3"/>
    <w:rsid w:val="008C5F0B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349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5158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3EBE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720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651A"/>
    <w:rsid w:val="009E6CF9"/>
    <w:rsid w:val="009E7724"/>
    <w:rsid w:val="009F0C62"/>
    <w:rsid w:val="009F28AF"/>
    <w:rsid w:val="009F2E45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06CC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0FFF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3D57"/>
    <w:rsid w:val="00AB415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566C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4BD8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07EC6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2B73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1865"/>
    <w:rsid w:val="00CE1E32"/>
    <w:rsid w:val="00CE225A"/>
    <w:rsid w:val="00CE2DB9"/>
    <w:rsid w:val="00CE481D"/>
    <w:rsid w:val="00CE52E8"/>
    <w:rsid w:val="00CE61DB"/>
    <w:rsid w:val="00CE64B8"/>
    <w:rsid w:val="00CE6B6F"/>
    <w:rsid w:val="00CE7417"/>
    <w:rsid w:val="00CE7A25"/>
    <w:rsid w:val="00CF0D50"/>
    <w:rsid w:val="00CF13B0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1DF5"/>
    <w:rsid w:val="00D027ED"/>
    <w:rsid w:val="00D03483"/>
    <w:rsid w:val="00D038BC"/>
    <w:rsid w:val="00D07525"/>
    <w:rsid w:val="00D10167"/>
    <w:rsid w:val="00D107CE"/>
    <w:rsid w:val="00D11374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2B04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B6863"/>
    <w:rsid w:val="00DB693E"/>
    <w:rsid w:val="00DC08B6"/>
    <w:rsid w:val="00DC0C6B"/>
    <w:rsid w:val="00DC0E0B"/>
    <w:rsid w:val="00DC1400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A3B"/>
    <w:rsid w:val="00E06CC0"/>
    <w:rsid w:val="00E0713C"/>
    <w:rsid w:val="00E077A7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4AB1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5BB1"/>
    <w:rsid w:val="00E97CDF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AC3"/>
    <w:rsid w:val="00ED24D2"/>
    <w:rsid w:val="00ED2BE9"/>
    <w:rsid w:val="00ED34D8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DF4"/>
    <w:rsid w:val="00EE6BBA"/>
    <w:rsid w:val="00EE6D68"/>
    <w:rsid w:val="00EE78B0"/>
    <w:rsid w:val="00EE793E"/>
    <w:rsid w:val="00EF0EE3"/>
    <w:rsid w:val="00EF2FB5"/>
    <w:rsid w:val="00EF34F7"/>
    <w:rsid w:val="00EF3A36"/>
    <w:rsid w:val="00EF3FCB"/>
    <w:rsid w:val="00EF40C5"/>
    <w:rsid w:val="00EF6E14"/>
    <w:rsid w:val="00EF7FCD"/>
    <w:rsid w:val="00F015C1"/>
    <w:rsid w:val="00F05C00"/>
    <w:rsid w:val="00F061E8"/>
    <w:rsid w:val="00F0649D"/>
    <w:rsid w:val="00F06530"/>
    <w:rsid w:val="00F07F2B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434B"/>
    <w:rsid w:val="00F56418"/>
    <w:rsid w:val="00F57720"/>
    <w:rsid w:val="00F57E98"/>
    <w:rsid w:val="00F60DB3"/>
    <w:rsid w:val="00F61934"/>
    <w:rsid w:val="00F62193"/>
    <w:rsid w:val="00F6274F"/>
    <w:rsid w:val="00F6367F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4C78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4DD0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89492"/>
  <w15:docId w15:val="{7C3D6AA5-F5B5-407E-AE26-4D6738AA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6CC"/>
    <w:rPr>
      <w:rFonts w:ascii="Times New Roman" w:eastAsiaTheme="minorEastAsia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ind w:left="1701" w:hanging="1701"/>
    </w:pPr>
    <w:rPr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qFormat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ind w:left="707" w:hangingChars="352" w:hanging="707"/>
    </w:pPr>
    <w:rPr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jc w:val="both"/>
    </w:pPr>
    <w:rPr>
      <w:rFonts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1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6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2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0" ma:contentTypeDescription="新しいドキュメントを作成します。" ma:contentTypeScope="" ma:versionID="3041ef09cf69009d935fd96970cd63a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51fb73b8c44948c6a1530b089f7c4e4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D4EC10-8ADC-4A4F-A64E-0D00A4723F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7BA79C-F37A-47CB-B576-3588FD1CC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5BFF8-C832-46ED-B16D-97B180D292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225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R1-2112086</dc:title>
  <dc:subject/>
  <dc:creator>Maki Shotaro (眞木 翔太郎)</dc:creator>
  <cp:keywords>3GPP; RAN1</cp:keywords>
  <dc:description/>
  <cp:lastModifiedBy>Maki Shotaro (眞木 翔太郎)</cp:lastModifiedBy>
  <cp:revision>31</cp:revision>
  <dcterms:created xsi:type="dcterms:W3CDTF">2021-11-04T05:42:00Z</dcterms:created>
  <dcterms:modified xsi:type="dcterms:W3CDTF">2021-11-05T08:48:00Z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